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81" w:rsidRDefault="00395B81" w:rsidP="00A51FD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95B81">
        <w:rPr>
          <w:rFonts w:ascii="Roboto" w:eastAsia="Times New Roman" w:hAnsi="Roboto" w:cs="Arial"/>
          <w:b/>
          <w:bCs/>
          <w:color w:val="333333"/>
          <w:kern w:val="36"/>
          <w:sz w:val="32"/>
          <w:szCs w:val="32"/>
          <w:lang w:eastAsia="ru-RU"/>
        </w:rPr>
        <w:t>Порядок получения с</w:t>
      </w:r>
      <w:r w:rsidRPr="00395B81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убсидии молодыми семьями в Белгородской области в 2018 году: государственная программа</w:t>
      </w:r>
    </w:p>
    <w:p w:rsidR="00395B81" w:rsidRPr="00395B81" w:rsidRDefault="00395B81" w:rsidP="00A51FD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395B81" w:rsidRPr="002059DD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молодых семей в Белгородской области успешно внедрены в жизнь. </w:t>
      </w:r>
      <w:r w:rsidR="00327191" w:rsidRPr="002059DD">
        <w:rPr>
          <w:rFonts w:ascii="PTSansRegular" w:hAnsi="PTSansRegular"/>
          <w:sz w:val="24"/>
          <w:szCs w:val="24"/>
        </w:rPr>
        <w:t>На их финансирование выделяются средства из федерального и местного бюджет</w:t>
      </w:r>
      <w:r w:rsidR="009D3A71">
        <w:rPr>
          <w:rFonts w:ascii="PTSansRegular" w:hAnsi="PTSansRegular"/>
          <w:sz w:val="24"/>
          <w:szCs w:val="24"/>
        </w:rPr>
        <w:t>ов</w:t>
      </w:r>
      <w:r w:rsidR="00327191" w:rsidRPr="002059DD">
        <w:rPr>
          <w:rFonts w:ascii="PTSansRegular" w:hAnsi="PTSansRegular"/>
          <w:sz w:val="24"/>
          <w:szCs w:val="24"/>
        </w:rPr>
        <w:t xml:space="preserve">, а также ряда внебюджетных источников. </w:t>
      </w:r>
    </w:p>
    <w:p w:rsidR="00395B81" w:rsidRPr="00395B81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Правительство РФ </w:t>
      </w:r>
      <w:r w:rsidR="00B757CF"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продлило до 2020 года</w:t>
      </w:r>
      <w:r w:rsidR="00B757CF"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«Обеспечение жильем молодых семей». Главной целью принятых мер является материальная безналичная помощь молодой паре, вступившей в брак. За прошедшие годы бюджетные выплаты помогли молодым людям решить вопрос комфортного проживания. Жилищная программа для молодых семей в Белгородской области утверждена и будет реализована до установленного правительством срока.</w:t>
      </w:r>
    </w:p>
    <w:p w:rsidR="00395B81" w:rsidRPr="00395B81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50FF6" w:rsidRDefault="00450FF6" w:rsidP="00A51F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395B81" w:rsidRPr="00395B81" w:rsidRDefault="00395B81" w:rsidP="00A51FD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395B8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Участие в программе «Молодая семья» 2018-2020 гг.</w:t>
      </w:r>
    </w:p>
    <w:p w:rsidR="009969C7" w:rsidRDefault="009969C7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95B81" w:rsidRPr="00C2261E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Молодые люди, вступившие в </w:t>
      </w:r>
      <w:r w:rsidR="00243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 и желающие стать участниками</w:t>
      </w: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43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</w:t>
      </w: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будут поставлены в очередь. Программа предполагает выделение единовременных выплат </w:t>
      </w:r>
      <w:r w:rsidR="009969C7"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размере утвержденных процентов</w:t>
      </w: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стоимости жилья.</w:t>
      </w:r>
    </w:p>
    <w:p w:rsidR="00395B81" w:rsidRPr="00C2261E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2018 году встать на очередь для получения государственной помощи может как </w:t>
      </w:r>
      <w:proofErr w:type="gramStart"/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</w:t>
      </w:r>
      <w:proofErr w:type="gramEnd"/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и неполная семья, состоящая из матери</w:t>
      </w:r>
      <w:r w:rsidR="009969C7"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/отца</w:t>
      </w: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ребенка.</w:t>
      </w:r>
    </w:p>
    <w:p w:rsidR="00FA4332" w:rsidRPr="00C2261E" w:rsidRDefault="00FA4332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95B81" w:rsidRPr="00C2261E" w:rsidRDefault="006E7EA0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Условия</w:t>
      </w:r>
      <w:r w:rsidR="00395B81" w:rsidRPr="00C22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для участия</w:t>
      </w:r>
      <w:r w:rsidR="00B757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программе</w:t>
      </w:r>
      <w:r w:rsidR="00395B81" w:rsidRPr="00C22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395B81" w:rsidRPr="00C2261E" w:rsidRDefault="00395B81" w:rsidP="00A51FDE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гражданство РФ;</w:t>
      </w:r>
    </w:p>
    <w:p w:rsidR="00874B4F" w:rsidRDefault="00450FF6" w:rsidP="00A51FDE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B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возрастные ограничения: </w:t>
      </w:r>
      <w:r w:rsidR="00874B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874B4F"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 супруга должны быть не старше 35 лет</w:t>
      </w:r>
      <w:r w:rsidR="00874B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95B81" w:rsidRPr="00874B4F" w:rsidRDefault="00395B81" w:rsidP="00A51FDE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B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обоснование в необходимости жилья;</w:t>
      </w:r>
    </w:p>
    <w:p w:rsidR="00395B81" w:rsidRPr="00C2261E" w:rsidRDefault="00395B81" w:rsidP="00A51FDE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подтвержденные доходы, которые должны суммарно быть выше размера субсидии;</w:t>
      </w:r>
    </w:p>
    <w:p w:rsidR="00395B81" w:rsidRPr="00C2261E" w:rsidRDefault="006F64B8" w:rsidP="00A51FDE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супруги</w:t>
      </w:r>
      <w:r w:rsidR="00395B81"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должны иметь регистрацию в городе Белгороде или Белгородской области.</w:t>
      </w:r>
    </w:p>
    <w:p w:rsidR="00395B81" w:rsidRPr="00C2261E" w:rsidRDefault="00395B81" w:rsidP="00A5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включение в список претендентов могут рассчитывать молодые люди, жилищные условия которых не соответствуют санитарным нормам, и не имеющие собственной квартиры.</w:t>
      </w:r>
      <w:r w:rsidR="00FA4332"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условием участия является обязательное совместное проживание супругов.</w:t>
      </w:r>
    </w:p>
    <w:p w:rsidR="00BD084C" w:rsidRPr="00C2261E" w:rsidRDefault="00BD084C" w:rsidP="00A51F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5B81" w:rsidRPr="00C2261E" w:rsidRDefault="00395B81" w:rsidP="00A51F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22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Документы, необходимые для участия в Программе</w:t>
      </w:r>
      <w:r w:rsidR="009969C7" w:rsidRPr="00C22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395B81" w:rsidRPr="00C2261E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 чтобы быть включенным в очередь для получения целевой социальной выплаты в регионе, потребуется предъявить в местные органы следующий пакет документов:</w:t>
      </w:r>
    </w:p>
    <w:p w:rsidR="00395B81" w:rsidRPr="00C2261E" w:rsidRDefault="0025087D" w:rsidP="00A51FDE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395B81" w:rsidRPr="00C226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="00395B81" w:rsidRPr="00C2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61E"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двух экземплярах. </w:t>
      </w:r>
      <w:r w:rsidR="00C2261E" w:rsidRPr="00C22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r w:rsidR="00C2261E"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дин экземпляр возвращается заявителю с указанием даты принятия заявления </w:t>
      </w:r>
      <w:r w:rsidR="00C2261E" w:rsidRPr="00C22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 приложенных к нему документов</w:t>
      </w:r>
      <w:r w:rsidR="00C2261E" w:rsidRPr="00C2261E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 </w:t>
      </w:r>
      <w:r w:rsidR="00BD084C" w:rsidRPr="00C2261E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(обращаться по адресу: </w:t>
      </w:r>
      <w:r w:rsidR="00BD084C" w:rsidRPr="00BD084C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г. Белгород, ул. Преображенская, д. 94, тел. 33-64-97</w:t>
      </w:r>
      <w:r w:rsidR="001F25FF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;</w:t>
      </w:r>
      <w:r w:rsidR="00BD084C" w:rsidRPr="00C2261E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 </w:t>
      </w:r>
      <w:r w:rsidR="00BD084C" w:rsidRPr="00C22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приемные дни</w:t>
      </w:r>
      <w:r w:rsidR="001F25F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</w:t>
      </w:r>
      <w:r w:rsidR="00BD084C" w:rsidRPr="00C22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1F25F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вт.,</w:t>
      </w:r>
      <w:r w:rsidR="00181DF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чт. – с 10:00 до 17:</w:t>
      </w:r>
      <w:r w:rsidR="00BD084C"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00</w:t>
      </w:r>
      <w:r w:rsidR="00BD084C" w:rsidRPr="00C22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</w:t>
      </w:r>
      <w:r w:rsidR="00181DF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перерыв - с 13:</w:t>
      </w:r>
      <w:r w:rsidR="00BD084C"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00 до 1</w:t>
      </w:r>
      <w:r w:rsidR="00181DF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4:</w:t>
      </w:r>
      <w:r w:rsidR="00BD084C"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00</w:t>
      </w:r>
      <w:r w:rsidR="00BD084C" w:rsidRPr="00C22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)</w:t>
      </w:r>
      <w:r w:rsidR="00395B81"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95B81" w:rsidRPr="00C2261E" w:rsidRDefault="00395B81" w:rsidP="00A51FDE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обоих паспортов;</w:t>
      </w:r>
    </w:p>
    <w:p w:rsidR="00395B81" w:rsidRPr="00C2261E" w:rsidRDefault="00395B81" w:rsidP="00A51FDE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свидетельствующие о рождении детей;</w:t>
      </w:r>
    </w:p>
    <w:p w:rsidR="00395B81" w:rsidRPr="00C2261E" w:rsidRDefault="00395B81" w:rsidP="00A51FDE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ксерокопия документа о регистрации брака</w:t>
      </w:r>
      <w:r w:rsidR="00C2261E"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2261E"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(на неполную семью не распространяется)</w:t>
      </w: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95B81" w:rsidRPr="00C2261E" w:rsidRDefault="001F25FF" w:rsidP="00A51FDE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</w:t>
      </w:r>
      <w:r w:rsidR="00395B81"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признание семьи, нуждающейся </w:t>
      </w:r>
      <w:r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 улучшении жилищных условий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C2261E" w:rsidRPr="00C22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обращаться по адресу: </w:t>
      </w:r>
      <w:r w:rsidR="00C2261E" w:rsidRPr="00BD084C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г. Белгород, ул. Некрасова, д. 9/15, кабинет № 28, 29, тел. 26-84-95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;</w:t>
      </w:r>
      <w:r w:rsidR="00C22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</w:t>
      </w:r>
      <w:r w:rsidR="00C2261E"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риемные дни:</w:t>
      </w:r>
      <w:r w:rsidR="00C22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C2261E"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пн.,</w:t>
      </w:r>
      <w:r w:rsidR="00181DF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ср. – с 9:00 до 13:</w:t>
      </w:r>
      <w:r w:rsidR="00C2261E"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00,</w:t>
      </w:r>
      <w:r w:rsidR="00C2261E" w:rsidRPr="00C22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181DF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вт., чт. – с 14:00 до 18:</w:t>
      </w:r>
      <w:r w:rsidR="00C2261E"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)</w:t>
      </w:r>
      <w:r w:rsidR="00395B81"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95B81" w:rsidRPr="00C2261E" w:rsidRDefault="00395B81" w:rsidP="00A51FDE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домовой книги с места регистрации;</w:t>
      </w:r>
    </w:p>
    <w:p w:rsidR="009969C7" w:rsidRPr="00C2261E" w:rsidRDefault="00395B81" w:rsidP="00A51FDE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 о коммунальных платежах.</w:t>
      </w:r>
    </w:p>
    <w:p w:rsidR="001F25FF" w:rsidRDefault="001F25FF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395B81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Государственными выплатами можно частично дополнить сумму на покупку квартиры или частного дома. Ими можно оплатить строительство нового жилья. Для внесения первоначального взноса для получения кредита банки принимают государственную выплату.</w:t>
      </w:r>
      <w:r w:rsidR="0083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кооперативного строительства имеет право государственной выплатой внести пай в полном объеме.</w:t>
      </w:r>
    </w:p>
    <w:p w:rsidR="00395B81" w:rsidRPr="00837640" w:rsidRDefault="00837640" w:rsidP="00A51FDE">
      <w:pPr>
        <w:spacing w:after="0" w:line="240" w:lineRule="auto"/>
        <w:ind w:firstLine="709"/>
        <w:jc w:val="both"/>
        <w:rPr>
          <w:rFonts w:eastAsia="Times New Roman" w:cs="Times New Roman"/>
          <w:color w:val="323232"/>
          <w:sz w:val="21"/>
          <w:szCs w:val="21"/>
          <w:u w:val="single"/>
          <w:lang w:eastAsia="ru-RU"/>
        </w:rPr>
      </w:pPr>
      <w:proofErr w:type="gramStart"/>
      <w:r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Согласно установленного порядка формирования списков молодых семей управлением молодежной политики администрации города Белгорода, </w:t>
      </w:r>
      <w:r w:rsidRPr="00BD084C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ru-RU"/>
        </w:rPr>
        <w:t>в первую очередь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ru-RU"/>
        </w:rPr>
        <w:t>,</w:t>
      </w:r>
      <w:r w:rsidRPr="00BD084C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ru-RU"/>
        </w:rPr>
        <w:t xml:space="preserve"> в указанные списки включаются молодые семьи, поставленные на учет в качестве нуждающихся в улучшении </w:t>
      </w:r>
      <w:r w:rsidRPr="00BD084C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ru-RU"/>
        </w:rPr>
        <w:lastRenderedPageBreak/>
        <w:t>жилищных условий в отделе по учету и распределению жилых помещений до 1 марта 2005 г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ru-RU"/>
        </w:rPr>
        <w:t>.</w:t>
      </w:r>
      <w:r>
        <w:rPr>
          <w:rFonts w:eastAsia="Times New Roman" w:cs="Times New Roman"/>
          <w:color w:val="323232"/>
          <w:sz w:val="21"/>
          <w:szCs w:val="21"/>
          <w:u w:val="single"/>
          <w:lang w:eastAsia="ru-RU"/>
        </w:rPr>
        <w:t xml:space="preserve"> </w:t>
      </w:r>
      <w:r w:rsidR="00395B81"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</w:t>
      </w:r>
      <w:proofErr w:type="spellStart"/>
      <w:r w:rsidR="00395B81"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первоочередниками</w:t>
      </w:r>
      <w:proofErr w:type="spellEnd"/>
      <w:r w:rsidR="00395B81"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считаются многодетные семьи, имеющие трех и более детей.</w:t>
      </w:r>
      <w:proofErr w:type="gramEnd"/>
    </w:p>
    <w:p w:rsidR="00395B81" w:rsidRPr="00395B81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 по списку включаются люди, которые были участниками программы «Жилище» в период с 2002 по 2010 годы, и не получившие до сих пор социальную помощь.</w:t>
      </w:r>
    </w:p>
    <w:p w:rsidR="00CB654A" w:rsidRPr="002059DD" w:rsidRDefault="00CB654A" w:rsidP="00A51F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2928" w:rsidRDefault="00162928" w:rsidP="00A51FD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9969C7" w:rsidRPr="00FA4332" w:rsidRDefault="00395B81" w:rsidP="00A51FD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395B8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Размер субсидии в 2018 году в </w:t>
      </w:r>
      <w:r w:rsidR="0016292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г. </w:t>
      </w:r>
      <w:r w:rsidRPr="00395B8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Белгороде и Белгородской области</w:t>
      </w:r>
    </w:p>
    <w:p w:rsidR="00162928" w:rsidRDefault="00162928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5B81" w:rsidRPr="00395B81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Целевая программа в регионе принята и действует в рамках федеральной государственной программы, призванной оказывать материальную помощь людям, вступивших в законный брак и не имеющих собственного жилья.</w:t>
      </w:r>
    </w:p>
    <w:p w:rsidR="00395B81" w:rsidRPr="00395B81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Государственная помощь выделяется в виде частичной суммы от стоимости жилья и исчисляется в следующих процентах:</w:t>
      </w:r>
    </w:p>
    <w:p w:rsidR="00395B81" w:rsidRPr="00395B81" w:rsidRDefault="00395B81" w:rsidP="00A51FDE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бездетных – 30%;</w:t>
      </w:r>
    </w:p>
    <w:p w:rsidR="00395B81" w:rsidRPr="00395B81" w:rsidRDefault="00395B81" w:rsidP="00A51FDE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536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</w:t>
      </w: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36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которых воспитываются </w:t>
      </w:r>
      <w:r w:rsidR="00360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35 %;</w:t>
      </w:r>
    </w:p>
    <w:p w:rsidR="00395B81" w:rsidRPr="00395B81" w:rsidRDefault="009969C7" w:rsidP="00A51FDE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9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матерей/отцов</w:t>
      </w:r>
      <w:r w:rsidR="00395B81"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воспитывающих </w:t>
      </w:r>
      <w:r w:rsidR="00360F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="00395B81"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35%.</w:t>
      </w:r>
    </w:p>
    <w:p w:rsidR="00395B81" w:rsidRPr="002059DD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участника Программы, родившего или усыновившего ребенка, выплачивается дополнительная сумма в размере 5% от стоимости жилья. В областном бюджете учтена такая статья расходов. Появление ребенка должно произойти в период с утверждения очередности семьи в Программе до момента получения свидетельства.</w:t>
      </w:r>
    </w:p>
    <w:p w:rsidR="00D0138E" w:rsidRPr="002059DD" w:rsidRDefault="00805634" w:rsidP="00A5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и во всех других регионах страны, данная программа ориентирована </w:t>
      </w:r>
      <w:r w:rsidRPr="008056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исключительно на бюджетное жилье</w:t>
      </w:r>
      <w:r w:rsidRPr="008056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95B81" w:rsidRPr="00395B81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Белгородские муниципальные органы до первого сентября предшествующего года предоставляют в управление по молодежной политике региона сформ</w:t>
      </w:r>
      <w:r w:rsidR="00D0138E" w:rsidRPr="002059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ированный и утвержденный список</w:t>
      </w: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включенных</w:t>
      </w:r>
      <w:proofErr w:type="gramEnd"/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план на приобретение частного дома или квартиры.</w:t>
      </w:r>
    </w:p>
    <w:p w:rsidR="00395B81" w:rsidRPr="00395B81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Установленная форма списка содержит хронологический перечень очередников с датой принятого решения включения в Программу.</w:t>
      </w:r>
    </w:p>
    <w:p w:rsidR="00395B81" w:rsidRPr="00395B81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выплаты на покупку квартиры зачисляются на счет одного из супругов на основании заявки соответствующего банка. Для получения субсидии открывается специальный банковский счет.</w:t>
      </w:r>
    </w:p>
    <w:p w:rsidR="00162928" w:rsidRDefault="00162928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95B81" w:rsidRPr="00395B81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покупки квартиры или дома в банк представляются следующие документы:</w:t>
      </w:r>
    </w:p>
    <w:p w:rsidR="00395B81" w:rsidRPr="00395B81" w:rsidRDefault="00162928" w:rsidP="00A51FDE">
      <w:pPr>
        <w:numPr>
          <w:ilvl w:val="0"/>
          <w:numId w:val="5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соответствующий</w:t>
      </w:r>
      <w:r w:rsidR="00395B81"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</w:t>
      </w:r>
      <w:r w:rsidR="00395B81"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покупке жилья;</w:t>
      </w:r>
    </w:p>
    <w:p w:rsidR="00395B81" w:rsidRPr="00395B81" w:rsidRDefault="00395B81" w:rsidP="00A51FDE">
      <w:pPr>
        <w:numPr>
          <w:ilvl w:val="0"/>
          <w:numId w:val="5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 о праве собственности;</w:t>
      </w:r>
    </w:p>
    <w:p w:rsidR="00395B81" w:rsidRPr="002059DD" w:rsidRDefault="00395B81" w:rsidP="00A51FDE">
      <w:pPr>
        <w:numPr>
          <w:ilvl w:val="0"/>
          <w:numId w:val="5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подтверждение дохода семьи, который должен быть выше размера предоставляемой государственной выплаты.</w:t>
      </w:r>
    </w:p>
    <w:p w:rsidR="00D0138E" w:rsidRPr="00395B81" w:rsidRDefault="00D0138E" w:rsidP="00A51FDE">
      <w:p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5B81" w:rsidRPr="00395B81" w:rsidRDefault="00395B81" w:rsidP="00A51F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95B81"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71E1913C" wp14:editId="758DA00F">
            <wp:extent cx="4016044" cy="2681825"/>
            <wp:effectExtent l="0" t="0" r="3810" b="4445"/>
            <wp:docPr id="5" name="Рисунок 5" descr="https://posobie.net/wp-content/uploads/2017/12/zhilische_molodym_semyam_13_05172144-500x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sobie.net/wp-content/uploads/2017/12/zhilische_molodym_semyam_13_05172144-500x3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837" cy="268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8E" w:rsidRDefault="00D0138E" w:rsidP="00A51F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B757CF" w:rsidRDefault="00B757CF" w:rsidP="00A51FD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395B81" w:rsidRDefault="00395B81" w:rsidP="00A51FD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395B8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Преимущества и недостатки программы «Молодая семья»</w:t>
      </w:r>
    </w:p>
    <w:p w:rsidR="002059DD" w:rsidRPr="00395B81" w:rsidRDefault="002059DD" w:rsidP="00A51F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D0138E" w:rsidRPr="002059DD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нынешних экономических условиях не каждая молодая пара имеет возможность купить себе жилье. План мероприятий под названием «Молодая семья» способствует укреплению семьи. С этой целью государство выделяет субсидии, которые частично погашают стоимость приобретаемой квартиры или дома.</w:t>
      </w:r>
    </w:p>
    <w:p w:rsidR="00D0138E" w:rsidRPr="004544CE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была рассчитана до 2015 года. Однако, наблюдая успешность данной помощи, государство продлило действие Программы до 2020 года.</w:t>
      </w:r>
    </w:p>
    <w:p w:rsidR="00395B81" w:rsidRPr="00395B81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Преимуществами Программы являются следующие моменты:</w:t>
      </w:r>
    </w:p>
    <w:p w:rsidR="00395B81" w:rsidRPr="00395B81" w:rsidRDefault="00395B81" w:rsidP="00A51FDE">
      <w:pPr>
        <w:numPr>
          <w:ilvl w:val="0"/>
          <w:numId w:val="6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покупка жилья обходится семье значительно дешевле;</w:t>
      </w:r>
    </w:p>
    <w:p w:rsidR="00395B81" w:rsidRPr="00395B81" w:rsidRDefault="00395B81" w:rsidP="00A51FDE">
      <w:pPr>
        <w:numPr>
          <w:ilvl w:val="0"/>
          <w:numId w:val="6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небольшая сумма первоначального взноса для имеющих двух и более детей;</w:t>
      </w:r>
    </w:p>
    <w:p w:rsidR="00395B81" w:rsidRPr="00395B81" w:rsidRDefault="00395B81" w:rsidP="00A51FDE">
      <w:pPr>
        <w:numPr>
          <w:ilvl w:val="0"/>
          <w:numId w:val="6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многодетная семья получает субсидию в 35% от полной стоимости жилья;</w:t>
      </w:r>
    </w:p>
    <w:p w:rsidR="00D0138E" w:rsidRPr="00FA4332" w:rsidRDefault="00395B81" w:rsidP="00A51FDE">
      <w:pPr>
        <w:numPr>
          <w:ilvl w:val="0"/>
          <w:numId w:val="6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кредит можно погасить материнским капиталом.</w:t>
      </w:r>
    </w:p>
    <w:p w:rsidR="0025087D" w:rsidRDefault="0025087D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B654A" w:rsidRDefault="00395B81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95B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Недостатком Программы</w:t>
      </w:r>
      <w:r w:rsidRPr="00395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считаться только один пункт — ограничение по возрасту. Оба супруга должны быть не старше 35 лет.</w:t>
      </w:r>
    </w:p>
    <w:p w:rsidR="00CB654A" w:rsidRDefault="00CB654A" w:rsidP="00A51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7640" w:rsidRDefault="00837640" w:rsidP="00A5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BD084C" w:rsidRPr="00BD084C" w:rsidRDefault="00BD084C" w:rsidP="00A51FDE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1F497D" w:themeColor="text2"/>
          <w:sz w:val="21"/>
          <w:szCs w:val="21"/>
          <w:lang w:eastAsia="ru-RU"/>
        </w:rPr>
      </w:pPr>
      <w:r w:rsidRPr="00BD084C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>Более подробную информаци</w:t>
      </w:r>
      <w:r w:rsidR="00181DF4" w:rsidRPr="00181DF4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>ю молодые семьи могут получить в У</w:t>
      </w:r>
      <w:r w:rsidRPr="00BD084C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>правлении молодежной политики администрации города Белгорода по адресу:  г. Белгород, ул. Преображенская, д. 94, тел. 33-64-97</w:t>
      </w:r>
      <w:r w:rsidR="00181DF4" w:rsidRPr="00181DF4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>, 27−97−34</w:t>
      </w:r>
      <w:r w:rsidR="00181DF4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 xml:space="preserve">. </w:t>
      </w:r>
      <w:r w:rsidR="00181DF4" w:rsidRPr="00181DF4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 xml:space="preserve"> </w:t>
      </w:r>
      <w:r w:rsidRPr="00BD084C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>Приемные дни</w:t>
      </w:r>
      <w:r w:rsidR="00181DF4" w:rsidRPr="00181DF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по вопросам сбора документов</w:t>
      </w:r>
      <w:r w:rsidR="00181DF4" w:rsidRPr="00181DF4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>:   вт., чт. с 10:00 до 17:00, перерыв с 13:00 до 14:</w:t>
      </w:r>
      <w:r w:rsidRPr="00BD084C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>00.</w:t>
      </w:r>
    </w:p>
    <w:p w:rsidR="00181DF4" w:rsidRPr="00181DF4" w:rsidRDefault="00BD084C" w:rsidP="00A51FDE">
      <w:pPr>
        <w:spacing w:after="0" w:line="240" w:lineRule="auto"/>
        <w:ind w:firstLine="709"/>
        <w:jc w:val="both"/>
        <w:rPr>
          <w:rFonts w:eastAsia="Times New Roman" w:cs="Times New Roman"/>
          <w:color w:val="323232"/>
          <w:sz w:val="21"/>
          <w:szCs w:val="21"/>
          <w:lang w:eastAsia="ru-RU"/>
        </w:rPr>
      </w:pPr>
      <w:r w:rsidRPr="00BD084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 </w:t>
      </w:r>
    </w:p>
    <w:p w:rsidR="00181DF4" w:rsidRPr="00BD084C" w:rsidRDefault="00BD084C" w:rsidP="00A51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BD084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Нормативно-правовая база по реализации жилищных программ</w:t>
      </w:r>
    </w:p>
    <w:p w:rsidR="000965A0" w:rsidRDefault="000965A0" w:rsidP="00A5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A51FDE" w:rsidRPr="00BD084C" w:rsidRDefault="00BD084C" w:rsidP="00A51FDE">
      <w:pPr>
        <w:spacing w:after="0" w:line="240" w:lineRule="auto"/>
        <w:ind w:firstLine="709"/>
        <w:jc w:val="both"/>
        <w:rPr>
          <w:rFonts w:ascii="Verdana" w:hAnsi="Verdana"/>
        </w:rPr>
      </w:pPr>
      <w:r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Федеральная целевая программа "Жилище" на 2015 - 2020 годы, утверждена постановлением Правительства Российской Федерации от 17 декабря 2010 г. №  1050 (</w:t>
      </w:r>
      <w:r w:rsidR="00A51FD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 изм.</w:t>
      </w:r>
      <w:r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от </w:t>
      </w:r>
      <w:r w:rsidR="00A51FD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20.05.2017</w:t>
      </w:r>
      <w:r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г.)</w:t>
      </w:r>
      <w:r w:rsidR="00181DF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  <w:r w:rsidR="00F03CE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</w:p>
    <w:p w:rsidR="00BD084C" w:rsidRPr="00BD084C" w:rsidRDefault="00BD084C" w:rsidP="00A51FDE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23232"/>
          <w:sz w:val="21"/>
          <w:szCs w:val="21"/>
          <w:lang w:eastAsia="ru-RU"/>
        </w:rPr>
      </w:pPr>
      <w:r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Постановление правительства Белгородской области от 10 ноября 2014 года №410-пп «Об утверждении Порядка предоставления молодым семьям социальных выплат на приобретение (строительство) жилья и их использования» (</w:t>
      </w:r>
      <w:r w:rsidR="00A51FD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 изм.</w:t>
      </w:r>
      <w:r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от 15.08.2016 г.).</w:t>
      </w:r>
    </w:p>
    <w:p w:rsidR="00BD084C" w:rsidRPr="00A51FDE" w:rsidRDefault="00BD084C" w:rsidP="00A51FDE">
      <w:pPr>
        <w:spacing w:after="0" w:line="240" w:lineRule="auto"/>
        <w:ind w:firstLine="709"/>
        <w:jc w:val="both"/>
        <w:rPr>
          <w:rFonts w:eastAsia="Times New Roman" w:cs="Times New Roman"/>
          <w:color w:val="323232"/>
          <w:sz w:val="21"/>
          <w:szCs w:val="21"/>
          <w:lang w:eastAsia="ru-RU"/>
        </w:rPr>
      </w:pPr>
      <w:r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Постановление администрации города Белгорода от 17 мая 2011 года №77 «О реализации подпрограммы «Обеспечение жильем молодых семей» в городе Белгороде» (</w:t>
      </w:r>
      <w:r w:rsidR="00A51FD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 изм.</w:t>
      </w:r>
      <w:r w:rsidRPr="00BD084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от 18.02.2016 г.).</w:t>
      </w:r>
    </w:p>
    <w:sectPr w:rsidR="00BD084C" w:rsidRPr="00A51FDE" w:rsidSect="00BD0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64B"/>
    <w:multiLevelType w:val="multilevel"/>
    <w:tmpl w:val="D710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84440"/>
    <w:multiLevelType w:val="multilevel"/>
    <w:tmpl w:val="1A58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97586"/>
    <w:multiLevelType w:val="multilevel"/>
    <w:tmpl w:val="E046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33BB6"/>
    <w:multiLevelType w:val="multilevel"/>
    <w:tmpl w:val="069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14B39"/>
    <w:multiLevelType w:val="multilevel"/>
    <w:tmpl w:val="147C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3035C"/>
    <w:multiLevelType w:val="multilevel"/>
    <w:tmpl w:val="1C24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31FD5"/>
    <w:multiLevelType w:val="multilevel"/>
    <w:tmpl w:val="ADE4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33"/>
    <w:rsid w:val="000965A0"/>
    <w:rsid w:val="00162928"/>
    <w:rsid w:val="00181DF4"/>
    <w:rsid w:val="001F25FF"/>
    <w:rsid w:val="002059DD"/>
    <w:rsid w:val="00243708"/>
    <w:rsid w:val="0025087D"/>
    <w:rsid w:val="00327191"/>
    <w:rsid w:val="00360F50"/>
    <w:rsid w:val="00395B81"/>
    <w:rsid w:val="003D20A6"/>
    <w:rsid w:val="003D4380"/>
    <w:rsid w:val="0040336C"/>
    <w:rsid w:val="00450FF6"/>
    <w:rsid w:val="004544CE"/>
    <w:rsid w:val="00481D89"/>
    <w:rsid w:val="004D7994"/>
    <w:rsid w:val="00536E85"/>
    <w:rsid w:val="006E7EA0"/>
    <w:rsid w:val="006F64B8"/>
    <w:rsid w:val="007D2248"/>
    <w:rsid w:val="00805634"/>
    <w:rsid w:val="00837640"/>
    <w:rsid w:val="00874B4F"/>
    <w:rsid w:val="009969C7"/>
    <w:rsid w:val="009D3A71"/>
    <w:rsid w:val="00A06963"/>
    <w:rsid w:val="00A51FDE"/>
    <w:rsid w:val="00AE43A5"/>
    <w:rsid w:val="00B757CF"/>
    <w:rsid w:val="00BD084C"/>
    <w:rsid w:val="00BD2961"/>
    <w:rsid w:val="00C2261E"/>
    <w:rsid w:val="00CB654A"/>
    <w:rsid w:val="00D0138E"/>
    <w:rsid w:val="00D7605B"/>
    <w:rsid w:val="00F03CEC"/>
    <w:rsid w:val="00F74033"/>
    <w:rsid w:val="00F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95B81"/>
    <w:rPr>
      <w:color w:val="0DB5EB"/>
      <w:u w:val="single"/>
    </w:rPr>
  </w:style>
  <w:style w:type="character" w:styleId="a6">
    <w:name w:val="Strong"/>
    <w:basedOn w:val="a0"/>
    <w:uiPriority w:val="22"/>
    <w:qFormat/>
    <w:rsid w:val="00395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95B81"/>
    <w:rPr>
      <w:color w:val="0DB5EB"/>
      <w:u w:val="single"/>
    </w:rPr>
  </w:style>
  <w:style w:type="character" w:styleId="a6">
    <w:name w:val="Strong"/>
    <w:basedOn w:val="a0"/>
    <w:uiPriority w:val="22"/>
    <w:qFormat/>
    <w:rsid w:val="00395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869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142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051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8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4738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obie.net/wp-content/uploads/2017/12/Zayavlenie-na-poluechnie-subsidii-na-ile-PROGRAMMA-MOLODAYA-SEMYA-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Кристина Анатольевна</dc:creator>
  <cp:keywords/>
  <dc:description/>
  <cp:lastModifiedBy>Александрова Кристина Анатольевна</cp:lastModifiedBy>
  <cp:revision>33</cp:revision>
  <dcterms:created xsi:type="dcterms:W3CDTF">2018-02-06T06:18:00Z</dcterms:created>
  <dcterms:modified xsi:type="dcterms:W3CDTF">2018-02-14T10:47:00Z</dcterms:modified>
</cp:coreProperties>
</file>